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77" w:rsidRPr="009D2077" w:rsidRDefault="009D2077">
      <w:pPr>
        <w:rPr>
          <w:b/>
          <w:sz w:val="32"/>
          <w:szCs w:val="32"/>
        </w:rPr>
      </w:pPr>
      <w:r w:rsidRPr="009D2077">
        <w:rPr>
          <w:b/>
          <w:sz w:val="32"/>
          <w:szCs w:val="32"/>
        </w:rPr>
        <w:t>Important STED Information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r>
        <w:t xml:space="preserve">STED applies a specially developed STED 100x/1.4 oil objective, which has a working distance of 90µm. 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r>
        <w:t xml:space="preserve">The observed structure should be at most 80µm away from the </w:t>
      </w:r>
      <w:proofErr w:type="spellStart"/>
      <w:r>
        <w:t>coverglass</w:t>
      </w:r>
      <w:proofErr w:type="spellEnd"/>
      <w:r>
        <w:t xml:space="preserve"> (use #1.5 ONLY), within 20µm range for optimal performance. 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r>
        <w:t xml:space="preserve">To achieve the best results, the refractive index of the mounting medium should match the refractive index of the immersion used (immersion liquid = 1.518). 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proofErr w:type="spellStart"/>
      <w:r>
        <w:t>ProLong</w:t>
      </w:r>
      <w:proofErr w:type="spellEnd"/>
      <w:r>
        <w:t xml:space="preserve"> Diamond mounting Media is highly recommended 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r>
        <w:t xml:space="preserve">Auto-fluorescence, as well as sudden and unpredicted changes of the refractive index may influence the shape of the focal spot and consequently the performance of the microscope. 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r>
        <w:t>C</w:t>
      </w:r>
      <w:r>
        <w:t xml:space="preserve">ertain customers found that old or unfiltered PFA might have high background possibility with the 592 </w:t>
      </w:r>
      <w:proofErr w:type="gramStart"/>
      <w:r>
        <w:t>laser</w:t>
      </w:r>
      <w:proofErr w:type="gramEnd"/>
      <w:r>
        <w:t xml:space="preserve">. </w:t>
      </w:r>
    </w:p>
    <w:p w:rsidR="009D2077" w:rsidRDefault="009D2077" w:rsidP="009D2077">
      <w:pPr>
        <w:pStyle w:val="ListParagraph"/>
        <w:numPr>
          <w:ilvl w:val="0"/>
          <w:numId w:val="5"/>
        </w:numPr>
      </w:pPr>
      <w:r>
        <w:t xml:space="preserve">Electron Microscope Grade which is already premixed produces good results (post-fixation) </w:t>
      </w:r>
    </w:p>
    <w:p w:rsidR="00127055" w:rsidRDefault="009D2077" w:rsidP="009D2077">
      <w:pPr>
        <w:pStyle w:val="ListParagraph"/>
        <w:numPr>
          <w:ilvl w:val="0"/>
          <w:numId w:val="5"/>
        </w:numPr>
      </w:pPr>
      <w:r>
        <w:t>During STED imaging, samples are irradiated strongly at a wavelength of 592 nm, 660 nm orb 775nm. It is of crucial importance that the sample is not absorbing light at this wavelength.</w:t>
      </w:r>
    </w:p>
    <w:p w:rsidR="009D2077" w:rsidRPr="009D2077" w:rsidRDefault="009D2077">
      <w:pPr>
        <w:rPr>
          <w:sz w:val="32"/>
          <w:szCs w:val="32"/>
        </w:rPr>
      </w:pPr>
    </w:p>
    <w:p w:rsidR="009D2077" w:rsidRPr="009D2077" w:rsidRDefault="009D2077">
      <w:pPr>
        <w:rPr>
          <w:b/>
          <w:sz w:val="32"/>
          <w:szCs w:val="32"/>
        </w:rPr>
      </w:pPr>
      <w:r w:rsidRPr="009D2077">
        <w:rPr>
          <w:b/>
          <w:sz w:val="32"/>
          <w:szCs w:val="32"/>
        </w:rPr>
        <w:t>Choosing fluorescent dyes for STED</w:t>
      </w:r>
    </w:p>
    <w:p w:rsidR="009D2077" w:rsidRPr="009D2077" w:rsidRDefault="009D2077">
      <w:pPr>
        <w:rPr>
          <w:b/>
        </w:rPr>
      </w:pPr>
      <w:r w:rsidRPr="009D2077">
        <w:rPr>
          <w:b/>
        </w:rPr>
        <w:t xml:space="preserve">Recommended Single Dyes </w:t>
      </w:r>
    </w:p>
    <w:p w:rsidR="009D2077" w:rsidRPr="009D2077" w:rsidRDefault="009D2077">
      <w:pPr>
        <w:rPr>
          <w:b/>
        </w:rPr>
      </w:pPr>
      <w:r>
        <w:t xml:space="preserve"> </w:t>
      </w:r>
      <w:r w:rsidRPr="009D2077">
        <w:rPr>
          <w:b/>
        </w:rPr>
        <w:t>Single color for 592 nm depletion</w:t>
      </w:r>
    </w:p>
    <w:p w:rsidR="009D2077" w:rsidRDefault="009D2077" w:rsidP="009D2077">
      <w:pPr>
        <w:pStyle w:val="ListParagraph"/>
        <w:numPr>
          <w:ilvl w:val="0"/>
          <w:numId w:val="3"/>
        </w:numPr>
      </w:pPr>
      <w:proofErr w:type="spellStart"/>
      <w:r>
        <w:t>DyLight</w:t>
      </w:r>
      <w:proofErr w:type="spellEnd"/>
      <w:r>
        <w:t xml:space="preserve"> 488 or 514 </w:t>
      </w:r>
    </w:p>
    <w:p w:rsidR="009D2077" w:rsidRDefault="009D2077" w:rsidP="009D2077">
      <w:pPr>
        <w:pStyle w:val="ListParagraph"/>
        <w:numPr>
          <w:ilvl w:val="0"/>
          <w:numId w:val="3"/>
        </w:numPr>
      </w:pPr>
      <w:r>
        <w:t xml:space="preserve">Oregon Green 488 or 514 </w:t>
      </w:r>
    </w:p>
    <w:p w:rsidR="009D2077" w:rsidRDefault="009D2077" w:rsidP="009D2077">
      <w:pPr>
        <w:pStyle w:val="ListParagraph"/>
        <w:numPr>
          <w:ilvl w:val="0"/>
          <w:numId w:val="3"/>
        </w:numPr>
      </w:pPr>
      <w:proofErr w:type="spellStart"/>
      <w:r>
        <w:t>AlexaFluor</w:t>
      </w:r>
      <w:proofErr w:type="spellEnd"/>
      <w:r>
        <w:t xml:space="preserve"> 488 or 514</w:t>
      </w:r>
    </w:p>
    <w:p w:rsidR="009D2077" w:rsidRDefault="009D2077" w:rsidP="009D2077">
      <w:pPr>
        <w:pStyle w:val="ListParagraph"/>
        <w:numPr>
          <w:ilvl w:val="0"/>
          <w:numId w:val="3"/>
        </w:numPr>
      </w:pPr>
      <w:r>
        <w:t xml:space="preserve">ATTO 488 or 514 </w:t>
      </w:r>
    </w:p>
    <w:p w:rsidR="009D2077" w:rsidRPr="009D2077" w:rsidRDefault="009D2077">
      <w:pPr>
        <w:rPr>
          <w:b/>
        </w:rPr>
      </w:pPr>
      <w:r w:rsidRPr="009D2077">
        <w:rPr>
          <w:b/>
        </w:rPr>
        <w:t xml:space="preserve">Single color for 660 nm depletion </w:t>
      </w:r>
    </w:p>
    <w:p w:rsidR="009D2077" w:rsidRDefault="009D2077" w:rsidP="009D2077">
      <w:pPr>
        <w:pStyle w:val="ListParagraph"/>
        <w:numPr>
          <w:ilvl w:val="0"/>
          <w:numId w:val="1"/>
        </w:numPr>
      </w:pPr>
      <w:r>
        <w:t xml:space="preserve">Alexa 532 </w:t>
      </w:r>
    </w:p>
    <w:p w:rsidR="009D2077" w:rsidRDefault="009D2077" w:rsidP="009D2077">
      <w:pPr>
        <w:pStyle w:val="ListParagraph"/>
        <w:numPr>
          <w:ilvl w:val="0"/>
          <w:numId w:val="1"/>
        </w:numPr>
      </w:pPr>
      <w:r>
        <w:t xml:space="preserve">ATTO 532 or 550 </w:t>
      </w:r>
    </w:p>
    <w:p w:rsidR="009D2077" w:rsidRDefault="009D2077" w:rsidP="009D2077">
      <w:pPr>
        <w:pStyle w:val="ListParagraph"/>
        <w:numPr>
          <w:ilvl w:val="0"/>
          <w:numId w:val="1"/>
        </w:numPr>
      </w:pPr>
      <w:r>
        <w:t xml:space="preserve">TMR/TRITC </w:t>
      </w:r>
    </w:p>
    <w:p w:rsidR="009D2077" w:rsidRDefault="009D2077" w:rsidP="009D2077">
      <w:pPr>
        <w:pStyle w:val="ListParagraph"/>
        <w:numPr>
          <w:ilvl w:val="0"/>
          <w:numId w:val="1"/>
        </w:numPr>
      </w:pPr>
      <w:r>
        <w:t>Alexa 555</w:t>
      </w:r>
    </w:p>
    <w:p w:rsidR="009D2077" w:rsidRPr="009D2077" w:rsidRDefault="009D2077">
      <w:pPr>
        <w:rPr>
          <w:b/>
        </w:rPr>
      </w:pPr>
      <w:r w:rsidRPr="009D2077">
        <w:rPr>
          <w:b/>
        </w:rPr>
        <w:t xml:space="preserve">Single color for 775 nm depletion </w:t>
      </w:r>
    </w:p>
    <w:p w:rsidR="009D2077" w:rsidRDefault="009D2077" w:rsidP="009D2077">
      <w:pPr>
        <w:pStyle w:val="ListParagraph"/>
        <w:numPr>
          <w:ilvl w:val="0"/>
          <w:numId w:val="2"/>
        </w:numPr>
      </w:pPr>
      <w:r>
        <w:t xml:space="preserve">ATTO 647N </w:t>
      </w:r>
    </w:p>
    <w:p w:rsidR="009D2077" w:rsidRDefault="009D2077" w:rsidP="009D2077">
      <w:pPr>
        <w:pStyle w:val="ListParagraph"/>
        <w:numPr>
          <w:ilvl w:val="0"/>
          <w:numId w:val="2"/>
        </w:numPr>
      </w:pPr>
      <w:r>
        <w:t xml:space="preserve">Alexa 633 </w:t>
      </w:r>
    </w:p>
    <w:p w:rsidR="009D2077" w:rsidRDefault="009D2077" w:rsidP="009D2077">
      <w:pPr>
        <w:pStyle w:val="ListParagraph"/>
        <w:numPr>
          <w:ilvl w:val="0"/>
          <w:numId w:val="2"/>
        </w:numPr>
      </w:pPr>
      <w:r>
        <w:t>Alexa 594</w:t>
      </w:r>
    </w:p>
    <w:p w:rsidR="009D2077" w:rsidRDefault="009D2077" w:rsidP="009D2077"/>
    <w:p w:rsidR="009D2077" w:rsidRDefault="009D2077" w:rsidP="009D2077"/>
    <w:p w:rsidR="009D2077" w:rsidRDefault="009D2077" w:rsidP="009D2077"/>
    <w:p w:rsidR="009D2077" w:rsidRDefault="009D2077" w:rsidP="009D2077">
      <w:pPr>
        <w:rPr>
          <w:b/>
        </w:rPr>
      </w:pPr>
      <w:r>
        <w:rPr>
          <w:b/>
        </w:rPr>
        <w:lastRenderedPageBreak/>
        <w:t>Coverslip requirements</w:t>
      </w:r>
    </w:p>
    <w:p w:rsidR="009D2077" w:rsidRDefault="009D2077" w:rsidP="009D2077">
      <w:pPr>
        <w:pStyle w:val="ListParagraph"/>
        <w:numPr>
          <w:ilvl w:val="0"/>
          <w:numId w:val="6"/>
        </w:numPr>
      </w:pPr>
      <w:r>
        <w:t>#1.5 coverslips ONLY</w:t>
      </w:r>
    </w:p>
    <w:p w:rsidR="009D2077" w:rsidRDefault="009D2077" w:rsidP="009D2077">
      <w:pPr>
        <w:pStyle w:val="ListParagraph"/>
        <w:numPr>
          <w:ilvl w:val="0"/>
          <w:numId w:val="6"/>
        </w:numPr>
      </w:pPr>
      <w:r>
        <w:t xml:space="preserve">DAPI free mounting media </w:t>
      </w:r>
    </w:p>
    <w:p w:rsidR="009D2077" w:rsidRDefault="009D2077" w:rsidP="009D2077">
      <w:pPr>
        <w:pStyle w:val="ListParagraph"/>
        <w:numPr>
          <w:ilvl w:val="0"/>
          <w:numId w:val="6"/>
        </w:numPr>
      </w:pPr>
      <w:r>
        <w:t xml:space="preserve">Refractive index matched mounting media (oil=1.518) </w:t>
      </w:r>
    </w:p>
    <w:p w:rsidR="009D2077" w:rsidRDefault="009D2077" w:rsidP="009D2077">
      <w:pPr>
        <w:pStyle w:val="ListParagraph"/>
        <w:numPr>
          <w:ilvl w:val="0"/>
          <w:numId w:val="6"/>
        </w:numPr>
      </w:pPr>
      <w:r>
        <w:t xml:space="preserve">Acid-washed coverslips are preferable to flamed coverslips </w:t>
      </w:r>
    </w:p>
    <w:p w:rsidR="009D2077" w:rsidRPr="009D2077" w:rsidRDefault="009D2077" w:rsidP="009D2077">
      <w:pPr>
        <w:pStyle w:val="ListParagraph"/>
        <w:numPr>
          <w:ilvl w:val="0"/>
          <w:numId w:val="6"/>
        </w:numPr>
      </w:pPr>
      <w:r>
        <w:t xml:space="preserve">Avoid “sealants” that can quench fluorescence or create autofluorescence (i.e. color </w:t>
      </w:r>
      <w:proofErr w:type="spellStart"/>
      <w:r>
        <w:t>nailpolish</w:t>
      </w:r>
      <w:proofErr w:type="spellEnd"/>
      <w:r>
        <w:t>)</w:t>
      </w:r>
    </w:p>
    <w:p w:rsidR="009D2077" w:rsidRDefault="009D2077" w:rsidP="009D2077">
      <w:pPr>
        <w:rPr>
          <w:b/>
        </w:rPr>
      </w:pPr>
    </w:p>
    <w:p w:rsidR="009D2077" w:rsidRDefault="009D2077" w:rsidP="009D2077">
      <w:pPr>
        <w:rPr>
          <w:b/>
        </w:rPr>
      </w:pPr>
      <w:r>
        <w:rPr>
          <w:b/>
        </w:rPr>
        <w:t>Mounting Media Requirements</w:t>
      </w:r>
    </w:p>
    <w:p w:rsidR="009D2077" w:rsidRPr="009D2077" w:rsidRDefault="009D2077" w:rsidP="009D2077">
      <w:pPr>
        <w:rPr>
          <w:b/>
        </w:rPr>
      </w:pPr>
      <w:r w:rsidRPr="009D2077">
        <w:rPr>
          <w:b/>
        </w:rPr>
        <w:t xml:space="preserve">With cell culture and thin tissue sections </w:t>
      </w:r>
      <w:r>
        <w:rPr>
          <w:b/>
        </w:rPr>
        <w:t xml:space="preserve">(within 25um </w:t>
      </w:r>
      <w:r w:rsidR="00D15ECA">
        <w:rPr>
          <w:b/>
        </w:rPr>
        <w:t>from</w:t>
      </w:r>
      <w:r>
        <w:rPr>
          <w:b/>
        </w:rPr>
        <w:t xml:space="preserve"> the coverslip)</w:t>
      </w:r>
    </w:p>
    <w:p w:rsidR="009D2077" w:rsidRDefault="009D2077" w:rsidP="009D2077">
      <w:pPr>
        <w:pStyle w:val="ListParagraph"/>
        <w:numPr>
          <w:ilvl w:val="0"/>
          <w:numId w:val="7"/>
        </w:numPr>
      </w:pPr>
      <w:r>
        <w:t xml:space="preserve">Prolong® Diamond Antifade </w:t>
      </w:r>
      <w:proofErr w:type="spellStart"/>
      <w:r>
        <w:t>Mountant</w:t>
      </w:r>
      <w:proofErr w:type="spellEnd"/>
      <w:r>
        <w:t xml:space="preserve"> (Life Technologies) </w:t>
      </w:r>
    </w:p>
    <w:p w:rsidR="009D2077" w:rsidRDefault="009D2077" w:rsidP="009D2077">
      <w:pPr>
        <w:pStyle w:val="ListParagraph"/>
        <w:numPr>
          <w:ilvl w:val="2"/>
          <w:numId w:val="7"/>
        </w:numPr>
      </w:pPr>
      <w:r>
        <w:t xml:space="preserve">Protects fluorescent dyes and fluorescent protein from fading, across entire visible and IR spectrums </w:t>
      </w:r>
    </w:p>
    <w:p w:rsidR="009D2077" w:rsidRDefault="009D2077" w:rsidP="009D2077">
      <w:pPr>
        <w:pStyle w:val="ListParagraph"/>
        <w:numPr>
          <w:ilvl w:val="2"/>
          <w:numId w:val="7"/>
        </w:numPr>
      </w:pPr>
      <w:r>
        <w:t xml:space="preserve">Ready-to-use liquid that cures for longer-term storage (polymerizes, so no sealant needed) </w:t>
      </w:r>
    </w:p>
    <w:p w:rsidR="009D2077" w:rsidRDefault="009D2077" w:rsidP="009D2077">
      <w:pPr>
        <w:pStyle w:val="ListParagraph"/>
        <w:numPr>
          <w:ilvl w:val="2"/>
          <w:numId w:val="7"/>
        </w:numPr>
      </w:pPr>
      <w:r>
        <w:t xml:space="preserve">Ideal for Alexa Fluor® and traditional dyes, such as FITC and Cy®3, and fluorescent proteins like GFP, RFP, and </w:t>
      </w:r>
      <w:proofErr w:type="spellStart"/>
      <w:r>
        <w:t>mCherry</w:t>
      </w:r>
      <w:proofErr w:type="spellEnd"/>
      <w:r>
        <w:t xml:space="preserve"> </w:t>
      </w:r>
    </w:p>
    <w:p w:rsidR="009D2077" w:rsidRDefault="009D2077" w:rsidP="009D2077">
      <w:pPr>
        <w:pStyle w:val="ListParagraph"/>
        <w:numPr>
          <w:ilvl w:val="2"/>
          <w:numId w:val="7"/>
        </w:numPr>
      </w:pPr>
      <w:r>
        <w:t xml:space="preserve">Mounted samples are stable for months </w:t>
      </w:r>
    </w:p>
    <w:p w:rsidR="009D2077" w:rsidRDefault="009D2077" w:rsidP="009D2077">
      <w:pPr>
        <w:pStyle w:val="ListParagraph"/>
        <w:numPr>
          <w:ilvl w:val="2"/>
          <w:numId w:val="7"/>
        </w:numPr>
      </w:pPr>
      <w:r>
        <w:t>Maintains fluorescence signal</w:t>
      </w:r>
    </w:p>
    <w:p w:rsidR="009D2077" w:rsidRPr="009D2077" w:rsidRDefault="009D2077" w:rsidP="009D2077">
      <w:pPr>
        <w:pStyle w:val="ListParagraph"/>
        <w:numPr>
          <w:ilvl w:val="2"/>
          <w:numId w:val="7"/>
        </w:numPr>
      </w:pPr>
      <w:r>
        <w:t>L</w:t>
      </w:r>
      <w:r>
        <w:t>ittle to no quenching</w:t>
      </w:r>
    </w:p>
    <w:p w:rsidR="009D2077" w:rsidRPr="00D15ECA" w:rsidRDefault="009D2077" w:rsidP="009D2077">
      <w:pPr>
        <w:rPr>
          <w:b/>
        </w:rPr>
      </w:pPr>
      <w:r w:rsidRPr="00D15ECA">
        <w:rPr>
          <w:b/>
        </w:rPr>
        <w:t xml:space="preserve">With thick tissue sections </w:t>
      </w:r>
      <w:r w:rsidRPr="00D15ECA">
        <w:rPr>
          <w:b/>
        </w:rPr>
        <w:t>(beyond 25um from the coverslip)</w:t>
      </w:r>
    </w:p>
    <w:p w:rsidR="00D15ECA" w:rsidRDefault="009D2077" w:rsidP="00D15ECA">
      <w:pPr>
        <w:pStyle w:val="ListParagraph"/>
        <w:numPr>
          <w:ilvl w:val="0"/>
          <w:numId w:val="7"/>
        </w:numPr>
      </w:pPr>
      <w:proofErr w:type="spellStart"/>
      <w:r>
        <w:t>Thiodiethanol</w:t>
      </w:r>
      <w:proofErr w:type="spellEnd"/>
      <w:r>
        <w:t xml:space="preserve"> (TDE, Sigma, #88559) mixed with an anti-fade reagent has been used with good results, especially for deep imaging. </w:t>
      </w:r>
    </w:p>
    <w:p w:rsidR="00D15ECA" w:rsidRDefault="009D2077" w:rsidP="00D15ECA">
      <w:pPr>
        <w:pStyle w:val="ListParagraph"/>
        <w:numPr>
          <w:ilvl w:val="2"/>
          <w:numId w:val="7"/>
        </w:numPr>
      </w:pPr>
      <w:r>
        <w:t xml:space="preserve">The TDE concentration must be gradually enhanced (up to 97%) to obtain a final refractive index of 1.514 </w:t>
      </w:r>
    </w:p>
    <w:p w:rsidR="00D15ECA" w:rsidRDefault="009D2077" w:rsidP="00D15ECA">
      <w:pPr>
        <w:pStyle w:val="ListParagraph"/>
        <w:numPr>
          <w:ilvl w:val="2"/>
          <w:numId w:val="7"/>
        </w:numPr>
      </w:pPr>
      <w:r>
        <w:t>Sequential steps in TDE 50%, 70% (15-30 minutes at each step), then in 97% + antifade as final mounting media must be undertaken</w:t>
      </w:r>
    </w:p>
    <w:p w:rsidR="00D15ECA" w:rsidRDefault="009D2077" w:rsidP="00D15ECA">
      <w:pPr>
        <w:pStyle w:val="ListParagraph"/>
        <w:numPr>
          <w:ilvl w:val="2"/>
          <w:numId w:val="7"/>
        </w:numPr>
      </w:pPr>
      <w:r>
        <w:t>The coverslip must be sealed using invisible nail polish or other sealants</w:t>
      </w:r>
    </w:p>
    <w:p w:rsidR="009D2077" w:rsidRPr="00D15ECA" w:rsidRDefault="009D2077" w:rsidP="00D15ECA">
      <w:pPr>
        <w:pStyle w:val="ListParagraph"/>
        <w:numPr>
          <w:ilvl w:val="2"/>
          <w:numId w:val="7"/>
        </w:numPr>
        <w:rPr>
          <w:b/>
        </w:rPr>
      </w:pPr>
      <w:r>
        <w:t xml:space="preserve">Be sure that the sealant is not quenching your fluorescence or creating any autofluorescence. </w:t>
      </w:r>
    </w:p>
    <w:p w:rsidR="009D2077" w:rsidRPr="009D2077" w:rsidRDefault="009D2077" w:rsidP="009D2077">
      <w:pPr>
        <w:rPr>
          <w:b/>
        </w:rPr>
      </w:pPr>
      <w:r w:rsidRPr="009D2077">
        <w:rPr>
          <w:b/>
        </w:rPr>
        <w:t xml:space="preserve">Do not use: </w:t>
      </w:r>
    </w:p>
    <w:p w:rsidR="009D2077" w:rsidRPr="009D2077" w:rsidRDefault="009D2077" w:rsidP="009D2077">
      <w:pPr>
        <w:pStyle w:val="ListParagraph"/>
        <w:numPr>
          <w:ilvl w:val="0"/>
          <w:numId w:val="4"/>
        </w:numPr>
        <w:rPr>
          <w:color w:val="FF0000"/>
        </w:rPr>
      </w:pPr>
      <w:r w:rsidRPr="009D2077">
        <w:rPr>
          <w:color w:val="FF0000"/>
        </w:rPr>
        <w:t xml:space="preserve">Other fluorescence Proteins not excitable by any laser lines from the Argon laser – STED CW (458, 476, 488, 514nm) or with the WLL </w:t>
      </w:r>
      <w:proofErr w:type="spellStart"/>
      <w:r w:rsidRPr="009D2077">
        <w:rPr>
          <w:color w:val="FF0000"/>
        </w:rPr>
        <w:t>gSTED</w:t>
      </w:r>
      <w:proofErr w:type="spellEnd"/>
      <w:r w:rsidRPr="009D2077">
        <w:rPr>
          <w:color w:val="FF0000"/>
        </w:rPr>
        <w:t xml:space="preserve"> between 470 and 580 nm. </w:t>
      </w:r>
    </w:p>
    <w:p w:rsidR="009D2077" w:rsidRPr="009D2077" w:rsidRDefault="009D2077" w:rsidP="009D2077">
      <w:pPr>
        <w:pStyle w:val="ListParagraph"/>
        <w:numPr>
          <w:ilvl w:val="0"/>
          <w:numId w:val="4"/>
        </w:numPr>
        <w:rPr>
          <w:color w:val="FF0000"/>
        </w:rPr>
      </w:pPr>
      <w:r w:rsidRPr="009D2077">
        <w:rPr>
          <w:color w:val="FF0000"/>
        </w:rPr>
        <w:t xml:space="preserve">DAPI (replace with TO-PRO-3, YOYO-3, </w:t>
      </w:r>
      <w:proofErr w:type="spellStart"/>
      <w:r w:rsidRPr="009D2077">
        <w:rPr>
          <w:color w:val="FF0000"/>
        </w:rPr>
        <w:t>PicoGreen</w:t>
      </w:r>
      <w:proofErr w:type="spellEnd"/>
      <w:r w:rsidRPr="009D2077">
        <w:rPr>
          <w:color w:val="FF0000"/>
        </w:rPr>
        <w:t xml:space="preserve">) </w:t>
      </w:r>
    </w:p>
    <w:p w:rsidR="009D2077" w:rsidRDefault="009D2077" w:rsidP="009D2077">
      <w:pPr>
        <w:pStyle w:val="ListParagraph"/>
        <w:numPr>
          <w:ilvl w:val="0"/>
          <w:numId w:val="4"/>
        </w:numPr>
        <w:rPr>
          <w:color w:val="FF0000"/>
        </w:rPr>
      </w:pPr>
      <w:r w:rsidRPr="009D2077">
        <w:rPr>
          <w:color w:val="FF0000"/>
        </w:rPr>
        <w:t>QDOTs or other fluorophores excited by the 405 nm laser</w:t>
      </w:r>
    </w:p>
    <w:p w:rsidR="00D15ECA" w:rsidRDefault="00D15ECA" w:rsidP="00D15ECA">
      <w:pPr>
        <w:rPr>
          <w:color w:val="FF0000"/>
        </w:rPr>
      </w:pPr>
    </w:p>
    <w:p w:rsidR="00D15ECA" w:rsidRDefault="00D15ECA" w:rsidP="00D15ECA">
      <w:pPr>
        <w:rPr>
          <w:color w:val="FF0000"/>
        </w:rPr>
      </w:pPr>
    </w:p>
    <w:p w:rsidR="00D15ECA" w:rsidRDefault="00D15ECA" w:rsidP="00D15ECA">
      <w:pPr>
        <w:rPr>
          <w:b/>
        </w:rPr>
      </w:pPr>
      <w:r w:rsidRPr="00D15ECA">
        <w:rPr>
          <w:b/>
        </w:rPr>
        <w:t>Users Experience</w:t>
      </w:r>
    </w:p>
    <w:p w:rsidR="00D15ECA" w:rsidRDefault="00D15ECA" w:rsidP="00D15ECA">
      <w:pPr>
        <w:pStyle w:val="ListParagraph"/>
        <w:numPr>
          <w:ilvl w:val="0"/>
          <w:numId w:val="8"/>
        </w:numPr>
      </w:pPr>
      <w:r>
        <w:lastRenderedPageBreak/>
        <w:t>Alexa 633 is a solid STED dye with little bleaching</w:t>
      </w:r>
    </w:p>
    <w:p w:rsidR="00D15ECA" w:rsidRDefault="00D15ECA" w:rsidP="00D15ECA">
      <w:pPr>
        <w:pStyle w:val="ListParagraph"/>
        <w:numPr>
          <w:ilvl w:val="0"/>
          <w:numId w:val="8"/>
        </w:numPr>
      </w:pPr>
      <w:r>
        <w:t xml:space="preserve">DRAQ 5 in a dilution of 1:5000 works well with TDE and p-Phenylenediamine (PPD) seems to be the most effective antifade mixed; no fading or bleaching at high depletion power. </w:t>
      </w:r>
      <w:r>
        <w:br/>
      </w:r>
    </w:p>
    <w:p w:rsidR="00D15ECA" w:rsidRDefault="00D15ECA" w:rsidP="00D15ECA"/>
    <w:p w:rsidR="00D15ECA" w:rsidRDefault="00D15ECA" w:rsidP="00D15ECA">
      <w:r>
        <w:t>Links</w:t>
      </w:r>
    </w:p>
    <w:p w:rsidR="00D15ECA" w:rsidRDefault="00D15ECA" w:rsidP="00D15ECA">
      <w:hyperlink r:id="rId5" w:history="1">
        <w:r w:rsidRPr="008F66F3">
          <w:rPr>
            <w:rStyle w:val="Hyperlink"/>
          </w:rPr>
          <w:t>https://www.sigmaaldrich.com/deepweb/assets/sigmaaldrich/product/documents/414/390/sted-sample-preparation-guide.pdf</w:t>
        </w:r>
      </w:hyperlink>
    </w:p>
    <w:p w:rsidR="00D15ECA" w:rsidRDefault="00D15ECA" w:rsidP="00D15ECA">
      <w:hyperlink r:id="rId6" w:history="1">
        <w:r w:rsidRPr="008F66F3">
          <w:rPr>
            <w:rStyle w:val="Hyperlink"/>
          </w:rPr>
          <w:t>https://www.imperial.ac.uk/media/imperial-college/medicine/facilities/film/The-Guide-to-STED-Sample-Preparation.pdf</w:t>
        </w:r>
      </w:hyperlink>
    </w:p>
    <w:p w:rsidR="00D15ECA" w:rsidRDefault="00D15ECA" w:rsidP="00D15ECA">
      <w:bookmarkStart w:id="0" w:name="_GoBack"/>
      <w:bookmarkEnd w:id="0"/>
    </w:p>
    <w:sectPr w:rsidR="00D1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68EA"/>
    <w:multiLevelType w:val="hybridMultilevel"/>
    <w:tmpl w:val="34D6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A2FD4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7255"/>
    <w:multiLevelType w:val="hybridMultilevel"/>
    <w:tmpl w:val="DB62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4926"/>
    <w:multiLevelType w:val="hybridMultilevel"/>
    <w:tmpl w:val="EE5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0DF8"/>
    <w:multiLevelType w:val="hybridMultilevel"/>
    <w:tmpl w:val="19B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6C4"/>
    <w:multiLevelType w:val="hybridMultilevel"/>
    <w:tmpl w:val="E1E4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16B4"/>
    <w:multiLevelType w:val="hybridMultilevel"/>
    <w:tmpl w:val="3D2C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3296"/>
    <w:multiLevelType w:val="hybridMultilevel"/>
    <w:tmpl w:val="A4D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37DE7"/>
    <w:multiLevelType w:val="hybridMultilevel"/>
    <w:tmpl w:val="9DBC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7"/>
    <w:rsid w:val="00517796"/>
    <w:rsid w:val="008F226E"/>
    <w:rsid w:val="009D2077"/>
    <w:rsid w:val="00D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5C7D"/>
  <w15:chartTrackingRefBased/>
  <w15:docId w15:val="{2BAF7A27-FA24-466D-9B8E-66CDD73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media/imperial-college/medicine/facilities/film/The-Guide-to-STED-Sample-Preparation.pdf" TargetMode="External"/><Relationship Id="rId5" Type="http://schemas.openxmlformats.org/officeDocument/2006/relationships/hyperlink" Target="https://www.sigmaaldrich.com/deepweb/assets/sigmaaldrich/product/documents/414/390/sted-sample-preparation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Ocana</dc:creator>
  <cp:keywords/>
  <dc:description/>
  <cp:lastModifiedBy>Michelle Ocana</cp:lastModifiedBy>
  <cp:revision>1</cp:revision>
  <dcterms:created xsi:type="dcterms:W3CDTF">2024-06-07T20:35:00Z</dcterms:created>
  <dcterms:modified xsi:type="dcterms:W3CDTF">2024-06-07T21:01:00Z</dcterms:modified>
</cp:coreProperties>
</file>